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E62" w:rsidRDefault="000C2ACE">
      <w:r w:rsidRPr="000C2ACE">
        <w:rPr>
          <w:sz w:val="32"/>
          <w:szCs w:val="32"/>
        </w:rPr>
        <w:t>SOIL MICROBIAL COMMUNITIES AND ITS RELATED FUNCTIONS</w:t>
      </w:r>
      <w:r>
        <w:t>-</w:t>
      </w:r>
    </w:p>
    <w:p w:rsidR="000C2ACE" w:rsidRPr="000C2ACE" w:rsidRDefault="000C2ACE" w:rsidP="000C2ACE">
      <w:pPr>
        <w:spacing w:after="0" w:line="240" w:lineRule="auto"/>
        <w:outlineLvl w:val="2"/>
        <w:rPr>
          <w:rFonts w:ascii="Arial" w:eastAsia="Times New Roman" w:hAnsi="Arial" w:cs="Arial"/>
          <w:color w:val="2E2E2E"/>
          <w:sz w:val="27"/>
          <w:szCs w:val="27"/>
        </w:rPr>
      </w:pPr>
      <w:r w:rsidRPr="000C2ACE">
        <w:rPr>
          <w:rFonts w:ascii="Arial" w:eastAsia="Times New Roman" w:hAnsi="Arial" w:cs="Arial"/>
          <w:color w:val="2E2E2E"/>
          <w:sz w:val="27"/>
          <w:szCs w:val="27"/>
        </w:rPr>
        <w:t> Introduction</w:t>
      </w:r>
    </w:p>
    <w:p w:rsidR="000C2ACE" w:rsidRPr="000C2ACE" w:rsidRDefault="000C2ACE" w:rsidP="000C2ACE">
      <w:pPr>
        <w:spacing w:after="0" w:line="240" w:lineRule="auto"/>
        <w:rPr>
          <w:rFonts w:ascii="Arial" w:eastAsia="Times New Roman" w:hAnsi="Arial" w:cs="Arial"/>
          <w:color w:val="2E2E2E"/>
          <w:szCs w:val="22"/>
        </w:rPr>
      </w:pPr>
      <w:r w:rsidRPr="000C2ACE">
        <w:rPr>
          <w:rFonts w:ascii="Arial" w:eastAsia="Times New Roman" w:hAnsi="Arial" w:cs="Arial"/>
          <w:color w:val="2E2E2E"/>
          <w:szCs w:val="22"/>
        </w:rPr>
        <w:t>Soil </w:t>
      </w:r>
      <w:hyperlink r:id="rId5" w:tooltip="Learn more about Microbial Communities from ScienceDirect's AI-generated Topic Pages" w:history="1">
        <w:r w:rsidRPr="000C2ACE">
          <w:rPr>
            <w:rFonts w:ascii="Arial" w:eastAsia="Times New Roman" w:hAnsi="Arial" w:cs="Arial"/>
            <w:color w:val="0C7DBB"/>
            <w:szCs w:val="22"/>
          </w:rPr>
          <w:t>microbial communities</w:t>
        </w:r>
      </w:hyperlink>
      <w:r w:rsidRPr="000C2ACE">
        <w:rPr>
          <w:rFonts w:ascii="Arial" w:eastAsia="Times New Roman" w:hAnsi="Arial" w:cs="Arial"/>
          <w:color w:val="2E2E2E"/>
          <w:szCs w:val="22"/>
        </w:rPr>
        <w:t> play an important role in </w:t>
      </w:r>
      <w:proofErr w:type="spellStart"/>
      <w:r w:rsidR="00853286" w:rsidRPr="000C2ACE">
        <w:rPr>
          <w:rFonts w:ascii="Arial" w:eastAsia="Times New Roman" w:hAnsi="Arial" w:cs="Arial"/>
          <w:color w:val="2E2E2E"/>
          <w:szCs w:val="22"/>
        </w:rPr>
        <w:fldChar w:fldCharType="begin"/>
      </w:r>
      <w:r w:rsidRPr="000C2ACE">
        <w:rPr>
          <w:rFonts w:ascii="Arial" w:eastAsia="Times New Roman" w:hAnsi="Arial" w:cs="Arial"/>
          <w:color w:val="2E2E2E"/>
          <w:szCs w:val="22"/>
        </w:rPr>
        <w:instrText xml:space="preserve"> HYPERLINK "https://www.sciencedirect.com/topics/agricultural-and-biological-sciences/agroecosystem" \o "Learn more about Agroecosystem from ScienceDirect's AI-generated Topic Pages" </w:instrText>
      </w:r>
      <w:r w:rsidR="00853286" w:rsidRPr="000C2ACE">
        <w:rPr>
          <w:rFonts w:ascii="Arial" w:eastAsia="Times New Roman" w:hAnsi="Arial" w:cs="Arial"/>
          <w:color w:val="2E2E2E"/>
          <w:szCs w:val="22"/>
        </w:rPr>
        <w:fldChar w:fldCharType="separate"/>
      </w:r>
      <w:r w:rsidRPr="000C2ACE">
        <w:rPr>
          <w:rFonts w:ascii="Arial" w:eastAsia="Times New Roman" w:hAnsi="Arial" w:cs="Arial"/>
          <w:color w:val="0C7DBB"/>
          <w:szCs w:val="22"/>
        </w:rPr>
        <w:t>agroecosystem</w:t>
      </w:r>
      <w:proofErr w:type="spellEnd"/>
      <w:r w:rsidR="00853286" w:rsidRPr="000C2ACE">
        <w:rPr>
          <w:rFonts w:ascii="Arial" w:eastAsia="Times New Roman" w:hAnsi="Arial" w:cs="Arial"/>
          <w:color w:val="2E2E2E"/>
          <w:szCs w:val="22"/>
        </w:rPr>
        <w:fldChar w:fldCharType="end"/>
      </w:r>
      <w:r w:rsidRPr="000C2ACE">
        <w:rPr>
          <w:rFonts w:ascii="Arial" w:eastAsia="Times New Roman" w:hAnsi="Arial" w:cs="Arial"/>
          <w:color w:val="2E2E2E"/>
          <w:szCs w:val="22"/>
        </w:rPr>
        <w:t> functioning and are on the field scale essential for </w:t>
      </w:r>
      <w:hyperlink r:id="rId6" w:tooltip="Learn more about Plant Nutrition from ScienceDirect's AI-generated Topic Pages" w:history="1">
        <w:r w:rsidRPr="000C2ACE">
          <w:rPr>
            <w:rFonts w:ascii="Arial" w:eastAsia="Times New Roman" w:hAnsi="Arial" w:cs="Arial"/>
            <w:color w:val="0C7DBB"/>
            <w:szCs w:val="22"/>
          </w:rPr>
          <w:t>plant nutrition</w:t>
        </w:r>
      </w:hyperlink>
      <w:r w:rsidRPr="000C2ACE">
        <w:rPr>
          <w:rFonts w:ascii="Arial" w:eastAsia="Times New Roman" w:hAnsi="Arial" w:cs="Arial"/>
          <w:color w:val="2E2E2E"/>
          <w:szCs w:val="22"/>
        </w:rPr>
        <w:t xml:space="preserve"> and health. On a larger scale, they contribute to global element cycling. Furthermore, they are involved in turnover processes of organic matter, breakdown of </w:t>
      </w:r>
      <w:proofErr w:type="spellStart"/>
      <w:r w:rsidRPr="000C2ACE">
        <w:rPr>
          <w:rFonts w:ascii="Arial" w:eastAsia="Times New Roman" w:hAnsi="Arial" w:cs="Arial"/>
          <w:color w:val="2E2E2E"/>
          <w:szCs w:val="22"/>
        </w:rPr>
        <w:t>xenobiotics</w:t>
      </w:r>
      <w:proofErr w:type="spellEnd"/>
      <w:r w:rsidRPr="000C2ACE">
        <w:rPr>
          <w:rFonts w:ascii="Arial" w:eastAsia="Times New Roman" w:hAnsi="Arial" w:cs="Arial"/>
          <w:color w:val="2E2E2E"/>
          <w:szCs w:val="22"/>
        </w:rPr>
        <w:t xml:space="preserve"> and formation of soil aggregates. In contrast to plant diversity, and the macro and </w:t>
      </w:r>
      <w:proofErr w:type="spellStart"/>
      <w:r w:rsidRPr="000C2ACE">
        <w:rPr>
          <w:rFonts w:ascii="Arial" w:eastAsia="Times New Roman" w:hAnsi="Arial" w:cs="Arial"/>
          <w:color w:val="2E2E2E"/>
          <w:szCs w:val="22"/>
        </w:rPr>
        <w:t>meso</w:t>
      </w:r>
      <w:proofErr w:type="spellEnd"/>
      <w:r w:rsidRPr="000C2ACE">
        <w:rPr>
          <w:rFonts w:ascii="Arial" w:eastAsia="Times New Roman" w:hAnsi="Arial" w:cs="Arial"/>
          <w:color w:val="2E2E2E"/>
          <w:szCs w:val="22"/>
        </w:rPr>
        <w:t xml:space="preserve"> fauna, the aspect of soil microbial diversity is a rather new approach. A major problem in soil microbial analysis has been that most soil microorganisms cannot be </w:t>
      </w:r>
      <w:proofErr w:type="spellStart"/>
      <w:r w:rsidRPr="000C2ACE">
        <w:rPr>
          <w:rFonts w:ascii="Arial" w:eastAsia="Times New Roman" w:hAnsi="Arial" w:cs="Arial"/>
          <w:color w:val="2E2E2E"/>
          <w:szCs w:val="22"/>
        </w:rPr>
        <w:t>characterised</w:t>
      </w:r>
      <w:proofErr w:type="spellEnd"/>
      <w:r w:rsidRPr="000C2ACE">
        <w:rPr>
          <w:rFonts w:ascii="Arial" w:eastAsia="Times New Roman" w:hAnsi="Arial" w:cs="Arial"/>
          <w:color w:val="2E2E2E"/>
          <w:szCs w:val="22"/>
        </w:rPr>
        <w:t xml:space="preserve"> by classical microbiological cultivation techniques. It is estimated that approximately 80–90% of soil microorganisms are not yet cultured by means of classic</w:t>
      </w:r>
      <w:r>
        <w:rPr>
          <w:rFonts w:ascii="Arial" w:eastAsia="Times New Roman" w:hAnsi="Arial" w:cs="Arial"/>
          <w:color w:val="2E2E2E"/>
          <w:szCs w:val="22"/>
        </w:rPr>
        <w:t>al methods.</w:t>
      </w:r>
    </w:p>
    <w:p w:rsidR="000C2ACE" w:rsidRPr="000C2ACE" w:rsidRDefault="000C2ACE" w:rsidP="000C2ACE">
      <w:pPr>
        <w:spacing w:after="0" w:line="240" w:lineRule="auto"/>
        <w:rPr>
          <w:rFonts w:ascii="Arial" w:eastAsia="Times New Roman" w:hAnsi="Arial" w:cs="Arial"/>
          <w:color w:val="2E2E2E"/>
          <w:szCs w:val="22"/>
        </w:rPr>
      </w:pPr>
      <w:r w:rsidRPr="000C2ACE">
        <w:rPr>
          <w:rFonts w:ascii="Arial" w:eastAsia="Times New Roman" w:hAnsi="Arial" w:cs="Arial"/>
          <w:color w:val="2E2E2E"/>
          <w:szCs w:val="22"/>
        </w:rPr>
        <w:t>At the beginning of the last decades, cultivation-independent techniques became more frequent, leading to a broader view of microbial life in soil. It is now widely accepted that a given soil consists of members belonging to all three domains of the </w:t>
      </w:r>
      <w:hyperlink r:id="rId7" w:tooltip="Learn more about Biosphere from ScienceDirect's AI-generated Topic Pages" w:history="1">
        <w:r w:rsidRPr="000C2ACE">
          <w:rPr>
            <w:rFonts w:ascii="Arial" w:eastAsia="Times New Roman" w:hAnsi="Arial" w:cs="Arial"/>
            <w:color w:val="0C7DBB"/>
            <w:szCs w:val="22"/>
          </w:rPr>
          <w:t>biosphere</w:t>
        </w:r>
      </w:hyperlink>
      <w:r w:rsidRPr="000C2ACE">
        <w:rPr>
          <w:rFonts w:ascii="Arial" w:eastAsia="Times New Roman" w:hAnsi="Arial" w:cs="Arial"/>
          <w:color w:val="2E2E2E"/>
          <w:szCs w:val="22"/>
        </w:rPr>
        <w:t>, the </w:t>
      </w:r>
      <w:r w:rsidRPr="000C2ACE">
        <w:rPr>
          <w:rFonts w:ascii="Arial" w:eastAsia="Times New Roman" w:hAnsi="Arial" w:cs="Arial"/>
          <w:i/>
          <w:iCs/>
          <w:color w:val="2E2E2E"/>
          <w:szCs w:val="22"/>
        </w:rPr>
        <w:t>Bacteria</w:t>
      </w:r>
      <w:r w:rsidRPr="000C2ACE">
        <w:rPr>
          <w:rFonts w:ascii="Arial" w:eastAsia="Times New Roman" w:hAnsi="Arial" w:cs="Arial"/>
          <w:color w:val="2E2E2E"/>
          <w:szCs w:val="22"/>
        </w:rPr>
        <w:t>, the </w:t>
      </w:r>
      <w:proofErr w:type="spellStart"/>
      <w:r w:rsidRPr="000C2ACE">
        <w:rPr>
          <w:rFonts w:ascii="Arial" w:eastAsia="Times New Roman" w:hAnsi="Arial" w:cs="Arial"/>
          <w:i/>
          <w:iCs/>
          <w:color w:val="2E2E2E"/>
          <w:szCs w:val="22"/>
        </w:rPr>
        <w:t>Eucarya</w:t>
      </w:r>
      <w:proofErr w:type="spellEnd"/>
      <w:r w:rsidRPr="000C2ACE">
        <w:rPr>
          <w:rFonts w:ascii="Arial" w:eastAsia="Times New Roman" w:hAnsi="Arial" w:cs="Arial"/>
          <w:color w:val="2E2E2E"/>
          <w:szCs w:val="22"/>
        </w:rPr>
        <w:t> and the </w:t>
      </w:r>
      <w:proofErr w:type="spellStart"/>
      <w:r w:rsidR="00853286" w:rsidRPr="000C2ACE">
        <w:rPr>
          <w:rFonts w:ascii="Arial" w:eastAsia="Times New Roman" w:hAnsi="Arial" w:cs="Arial"/>
          <w:i/>
          <w:iCs/>
          <w:color w:val="2E2E2E"/>
          <w:szCs w:val="22"/>
        </w:rPr>
        <w:fldChar w:fldCharType="begin"/>
      </w:r>
      <w:r w:rsidRPr="000C2ACE">
        <w:rPr>
          <w:rFonts w:ascii="Arial" w:eastAsia="Times New Roman" w:hAnsi="Arial" w:cs="Arial"/>
          <w:i/>
          <w:iCs/>
          <w:color w:val="2E2E2E"/>
          <w:szCs w:val="22"/>
        </w:rPr>
        <w:instrText xml:space="preserve"> HYPERLINK "https://www.sciencedirect.com/topics/agricultural-and-biological-sciences/archaea" \o "Learn more about Archaea from ScienceDirect's AI-generated Topic Pages" </w:instrText>
      </w:r>
      <w:r w:rsidR="00853286" w:rsidRPr="000C2ACE">
        <w:rPr>
          <w:rFonts w:ascii="Arial" w:eastAsia="Times New Roman" w:hAnsi="Arial" w:cs="Arial"/>
          <w:i/>
          <w:iCs/>
          <w:color w:val="2E2E2E"/>
          <w:szCs w:val="22"/>
        </w:rPr>
        <w:fldChar w:fldCharType="separate"/>
      </w:r>
      <w:r w:rsidRPr="000C2ACE">
        <w:rPr>
          <w:rFonts w:ascii="Arial" w:eastAsia="Times New Roman" w:hAnsi="Arial" w:cs="Arial"/>
          <w:i/>
          <w:iCs/>
          <w:color w:val="0C7DBB"/>
          <w:szCs w:val="22"/>
        </w:rPr>
        <w:t>Archaea</w:t>
      </w:r>
      <w:proofErr w:type="spellEnd"/>
      <w:r w:rsidR="00853286" w:rsidRPr="000C2ACE">
        <w:rPr>
          <w:rFonts w:ascii="Arial" w:eastAsia="Times New Roman" w:hAnsi="Arial" w:cs="Arial"/>
          <w:i/>
          <w:iCs/>
          <w:color w:val="2E2E2E"/>
          <w:szCs w:val="22"/>
        </w:rPr>
        <w:fldChar w:fldCharType="end"/>
      </w:r>
      <w:r w:rsidRPr="000C2ACE">
        <w:rPr>
          <w:rFonts w:ascii="Arial" w:eastAsia="Times New Roman" w:hAnsi="Arial" w:cs="Arial"/>
          <w:color w:val="2E2E2E"/>
          <w:szCs w:val="22"/>
        </w:rPr>
        <w:t xml:space="preserve">. Cultivation-independent molecular approaches are based on the direct extraction of DNA from soil and </w:t>
      </w:r>
      <w:proofErr w:type="gramStart"/>
      <w:r w:rsidRPr="000C2ACE">
        <w:rPr>
          <w:rFonts w:ascii="Arial" w:eastAsia="Times New Roman" w:hAnsi="Arial" w:cs="Arial"/>
          <w:color w:val="2E2E2E"/>
          <w:szCs w:val="22"/>
        </w:rPr>
        <w:t>a subsequent analysis molecular marker genes</w:t>
      </w:r>
      <w:proofErr w:type="gramEnd"/>
      <w:r w:rsidRPr="000C2ACE">
        <w:rPr>
          <w:rFonts w:ascii="Arial" w:eastAsia="Times New Roman" w:hAnsi="Arial" w:cs="Arial"/>
          <w:color w:val="2E2E2E"/>
          <w:szCs w:val="22"/>
        </w:rPr>
        <w:t xml:space="preserve"> (e.g. genes coding for ribosomal RNA). These genes are functionally conserved in all organisms and contain conserved, variable and highly varia</w:t>
      </w:r>
      <w:r>
        <w:rPr>
          <w:rFonts w:ascii="Arial" w:eastAsia="Times New Roman" w:hAnsi="Arial" w:cs="Arial"/>
          <w:color w:val="2E2E2E"/>
          <w:szCs w:val="22"/>
        </w:rPr>
        <w:t>ble regions</w:t>
      </w:r>
      <w:r w:rsidRPr="000C2ACE">
        <w:rPr>
          <w:rFonts w:ascii="Arial" w:eastAsia="Times New Roman" w:hAnsi="Arial" w:cs="Arial"/>
          <w:color w:val="2E2E2E"/>
          <w:szCs w:val="22"/>
        </w:rPr>
        <w:t xml:space="preserve"> and can therefore be used as marker genes to describe structural microbial dive</w:t>
      </w:r>
      <w:r>
        <w:rPr>
          <w:rFonts w:ascii="Arial" w:eastAsia="Times New Roman" w:hAnsi="Arial" w:cs="Arial"/>
          <w:color w:val="2E2E2E"/>
          <w:szCs w:val="22"/>
        </w:rPr>
        <w:t>rsity. At present, more than 15</w:t>
      </w:r>
      <w:r w:rsidRPr="000C2ACE">
        <w:rPr>
          <w:rFonts w:ascii="Arial" w:eastAsia="Times New Roman" w:hAnsi="Arial" w:cs="Arial"/>
          <w:color w:val="2E2E2E"/>
          <w:szCs w:val="22"/>
        </w:rPr>
        <w:t xml:space="preserve">000 sequences of </w:t>
      </w:r>
      <w:proofErr w:type="spellStart"/>
      <w:r w:rsidRPr="000C2ACE">
        <w:rPr>
          <w:rFonts w:ascii="Arial" w:eastAsia="Times New Roman" w:hAnsi="Arial" w:cs="Arial"/>
          <w:color w:val="2E2E2E"/>
          <w:szCs w:val="22"/>
        </w:rPr>
        <w:t>rRNA</w:t>
      </w:r>
      <w:proofErr w:type="spellEnd"/>
      <w:r w:rsidRPr="000C2ACE">
        <w:rPr>
          <w:rFonts w:ascii="Arial" w:eastAsia="Times New Roman" w:hAnsi="Arial" w:cs="Arial"/>
          <w:color w:val="2E2E2E"/>
          <w:szCs w:val="22"/>
        </w:rPr>
        <w:t xml:space="preserve"> genes are available in databases. Apart from structural genetic analyses, soil microbial communities can also be studied in terms of their in situ functions by means of molecular techniques. There are several PCR-based assays available for the detection of functional genes with respect to key processes during C and N </w:t>
      </w:r>
      <w:proofErr w:type="gramStart"/>
      <w:r w:rsidRPr="000C2ACE">
        <w:rPr>
          <w:rFonts w:ascii="Arial" w:eastAsia="Times New Roman" w:hAnsi="Arial" w:cs="Arial"/>
          <w:color w:val="2E2E2E"/>
          <w:szCs w:val="22"/>
        </w:rPr>
        <w:t>cycl</w:t>
      </w:r>
      <w:r>
        <w:rPr>
          <w:rFonts w:ascii="Arial" w:eastAsia="Times New Roman" w:hAnsi="Arial" w:cs="Arial"/>
          <w:color w:val="2E2E2E"/>
          <w:szCs w:val="22"/>
        </w:rPr>
        <w:t xml:space="preserve">ing </w:t>
      </w:r>
      <w:r w:rsidRPr="000C2ACE">
        <w:rPr>
          <w:rFonts w:ascii="Arial" w:eastAsia="Times New Roman" w:hAnsi="Arial" w:cs="Arial"/>
          <w:color w:val="2E2E2E"/>
          <w:szCs w:val="22"/>
        </w:rPr>
        <w:t>.</w:t>
      </w:r>
      <w:proofErr w:type="gramEnd"/>
    </w:p>
    <w:p w:rsidR="000C2ACE" w:rsidRPr="000C2ACE" w:rsidRDefault="000C2ACE" w:rsidP="000C2ACE">
      <w:pPr>
        <w:spacing w:after="0" w:line="240" w:lineRule="auto"/>
        <w:rPr>
          <w:rFonts w:ascii="Arial" w:eastAsia="Times New Roman" w:hAnsi="Arial" w:cs="Arial"/>
          <w:color w:val="2E2E2E"/>
          <w:szCs w:val="22"/>
        </w:rPr>
      </w:pPr>
      <w:r w:rsidRPr="000C2ACE">
        <w:rPr>
          <w:rFonts w:ascii="Arial" w:eastAsia="Times New Roman" w:hAnsi="Arial" w:cs="Arial"/>
          <w:color w:val="2E2E2E"/>
          <w:szCs w:val="22"/>
        </w:rPr>
        <w:t>Another cultivation-independent technique for the analysis of the structural diversity of soil microorganisms is the </w:t>
      </w:r>
      <w:proofErr w:type="spellStart"/>
      <w:r w:rsidR="00853286" w:rsidRPr="000C2ACE">
        <w:rPr>
          <w:rFonts w:ascii="Arial" w:eastAsia="Times New Roman" w:hAnsi="Arial" w:cs="Arial"/>
          <w:color w:val="2E2E2E"/>
          <w:szCs w:val="22"/>
        </w:rPr>
        <w:fldChar w:fldCharType="begin"/>
      </w:r>
      <w:r w:rsidRPr="000C2ACE">
        <w:rPr>
          <w:rFonts w:ascii="Arial" w:eastAsia="Times New Roman" w:hAnsi="Arial" w:cs="Arial"/>
          <w:color w:val="2E2E2E"/>
          <w:szCs w:val="22"/>
        </w:rPr>
        <w:instrText xml:space="preserve"> HYPERLINK "https://www.sciencedirect.com/topics/agricultural-and-biological-sciences/phospholipid" \o "Learn more about Phospholipid from ScienceDirect's AI-generated Topic Pages" </w:instrText>
      </w:r>
      <w:r w:rsidR="00853286" w:rsidRPr="000C2ACE">
        <w:rPr>
          <w:rFonts w:ascii="Arial" w:eastAsia="Times New Roman" w:hAnsi="Arial" w:cs="Arial"/>
          <w:color w:val="2E2E2E"/>
          <w:szCs w:val="22"/>
        </w:rPr>
        <w:fldChar w:fldCharType="separate"/>
      </w:r>
      <w:r w:rsidRPr="000C2ACE">
        <w:rPr>
          <w:rFonts w:ascii="Arial" w:eastAsia="Times New Roman" w:hAnsi="Arial" w:cs="Arial"/>
          <w:color w:val="0C7DBB"/>
          <w:szCs w:val="22"/>
        </w:rPr>
        <w:t>phospholipid</w:t>
      </w:r>
      <w:proofErr w:type="spellEnd"/>
      <w:r w:rsidR="00853286" w:rsidRPr="000C2ACE">
        <w:rPr>
          <w:rFonts w:ascii="Arial" w:eastAsia="Times New Roman" w:hAnsi="Arial" w:cs="Arial"/>
          <w:color w:val="2E2E2E"/>
          <w:szCs w:val="22"/>
        </w:rPr>
        <w:fldChar w:fldCharType="end"/>
      </w:r>
      <w:r w:rsidRPr="000C2ACE">
        <w:rPr>
          <w:rFonts w:ascii="Arial" w:eastAsia="Times New Roman" w:hAnsi="Arial" w:cs="Arial"/>
          <w:color w:val="2E2E2E"/>
          <w:szCs w:val="22"/>
        </w:rPr>
        <w:t xml:space="preserve"> approach. Phospholipids are essential components of membranes of all living cells, and their fatty acid (PLFA: </w:t>
      </w:r>
      <w:proofErr w:type="spellStart"/>
      <w:r w:rsidRPr="000C2ACE">
        <w:rPr>
          <w:rFonts w:ascii="Arial" w:eastAsia="Times New Roman" w:hAnsi="Arial" w:cs="Arial"/>
          <w:color w:val="2E2E2E"/>
          <w:szCs w:val="22"/>
        </w:rPr>
        <w:t>phospholipid</w:t>
      </w:r>
      <w:proofErr w:type="spellEnd"/>
      <w:r w:rsidRPr="000C2ACE">
        <w:rPr>
          <w:rFonts w:ascii="Arial" w:eastAsia="Times New Roman" w:hAnsi="Arial" w:cs="Arial"/>
          <w:color w:val="2E2E2E"/>
          <w:szCs w:val="22"/>
        </w:rPr>
        <w:t xml:space="preserve"> fatty acids) or ether-linked </w:t>
      </w:r>
      <w:proofErr w:type="spellStart"/>
      <w:r w:rsidRPr="000C2ACE">
        <w:rPr>
          <w:rFonts w:ascii="Arial" w:eastAsia="Times New Roman" w:hAnsi="Arial" w:cs="Arial"/>
          <w:color w:val="2E2E2E"/>
          <w:szCs w:val="22"/>
        </w:rPr>
        <w:t>isoprenoid</w:t>
      </w:r>
      <w:proofErr w:type="spellEnd"/>
      <w:r w:rsidRPr="000C2ACE">
        <w:rPr>
          <w:rFonts w:ascii="Arial" w:eastAsia="Times New Roman" w:hAnsi="Arial" w:cs="Arial"/>
          <w:color w:val="2E2E2E"/>
          <w:szCs w:val="22"/>
        </w:rPr>
        <w:t xml:space="preserve"> side chains (PLEL: </w:t>
      </w:r>
      <w:proofErr w:type="spellStart"/>
      <w:r w:rsidRPr="000C2ACE">
        <w:rPr>
          <w:rFonts w:ascii="Arial" w:eastAsia="Times New Roman" w:hAnsi="Arial" w:cs="Arial"/>
          <w:color w:val="2E2E2E"/>
          <w:szCs w:val="22"/>
        </w:rPr>
        <w:t>phospholipid</w:t>
      </w:r>
      <w:proofErr w:type="spellEnd"/>
      <w:r w:rsidRPr="000C2ACE">
        <w:rPr>
          <w:rFonts w:ascii="Arial" w:eastAsia="Times New Roman" w:hAnsi="Arial" w:cs="Arial"/>
          <w:color w:val="2E2E2E"/>
          <w:szCs w:val="22"/>
        </w:rPr>
        <w:t xml:space="preserve"> </w:t>
      </w:r>
      <w:proofErr w:type="spellStart"/>
      <w:r w:rsidRPr="000C2ACE">
        <w:rPr>
          <w:rFonts w:ascii="Arial" w:eastAsia="Times New Roman" w:hAnsi="Arial" w:cs="Arial"/>
          <w:color w:val="2E2E2E"/>
          <w:szCs w:val="22"/>
        </w:rPr>
        <w:t>etherlipid</w:t>
      </w:r>
      <w:proofErr w:type="spellEnd"/>
      <w:r w:rsidRPr="000C2ACE">
        <w:rPr>
          <w:rFonts w:ascii="Arial" w:eastAsia="Times New Roman" w:hAnsi="Arial" w:cs="Arial"/>
          <w:color w:val="2E2E2E"/>
          <w:szCs w:val="22"/>
        </w:rPr>
        <w:t>) allow a taxonomic differentiation within complex microb</w:t>
      </w:r>
      <w:r>
        <w:rPr>
          <w:rFonts w:ascii="Arial" w:eastAsia="Times New Roman" w:hAnsi="Arial" w:cs="Arial"/>
          <w:color w:val="2E2E2E"/>
          <w:szCs w:val="22"/>
        </w:rPr>
        <w:t>ial communities</w:t>
      </w:r>
      <w:r w:rsidRPr="000C2ACE">
        <w:rPr>
          <w:rFonts w:ascii="Arial" w:eastAsia="Times New Roman" w:hAnsi="Arial" w:cs="Arial"/>
          <w:color w:val="2E2E2E"/>
          <w:szCs w:val="22"/>
        </w:rPr>
        <w:t>. This approach is now well established in </w:t>
      </w:r>
      <w:hyperlink r:id="rId8" w:tooltip="Learn more about Soil Ecology from ScienceDirect's AI-generated Topic Pages" w:history="1">
        <w:r w:rsidRPr="000C2ACE">
          <w:rPr>
            <w:rFonts w:ascii="Arial" w:eastAsia="Times New Roman" w:hAnsi="Arial" w:cs="Arial"/>
            <w:color w:val="0C7DBB"/>
            <w:szCs w:val="22"/>
          </w:rPr>
          <w:t>soil ecology</w:t>
        </w:r>
      </w:hyperlink>
      <w:r w:rsidRPr="000C2ACE">
        <w:rPr>
          <w:rFonts w:ascii="Arial" w:eastAsia="Times New Roman" w:hAnsi="Arial" w:cs="Arial"/>
          <w:color w:val="2E2E2E"/>
          <w:szCs w:val="22"/>
        </w:rPr>
        <w:t xml:space="preserve"> and serves as a phenotypic and thus complementary tool to genotypic (molecular </w:t>
      </w:r>
      <w:proofErr w:type="spellStart"/>
      <w:r w:rsidRPr="000C2ACE">
        <w:rPr>
          <w:rFonts w:ascii="Arial" w:eastAsia="Times New Roman" w:hAnsi="Arial" w:cs="Arial"/>
          <w:color w:val="2E2E2E"/>
          <w:szCs w:val="22"/>
        </w:rPr>
        <w:t>genetic</w:t>
      </w:r>
      <w:proofErr w:type="spellEnd"/>
      <w:r w:rsidRPr="000C2ACE">
        <w:rPr>
          <w:rFonts w:ascii="Arial" w:eastAsia="Times New Roman" w:hAnsi="Arial" w:cs="Arial"/>
          <w:color w:val="2E2E2E"/>
          <w:szCs w:val="22"/>
        </w:rPr>
        <w:t>) approaches.</w:t>
      </w:r>
    </w:p>
    <w:p w:rsidR="000C2ACE" w:rsidRPr="000C2ACE" w:rsidRDefault="000C2ACE" w:rsidP="000C2ACE">
      <w:pPr>
        <w:spacing w:after="0" w:line="240" w:lineRule="auto"/>
        <w:rPr>
          <w:rFonts w:ascii="Arial" w:eastAsia="Times New Roman" w:hAnsi="Arial" w:cs="Arial"/>
          <w:color w:val="2E2E2E"/>
          <w:szCs w:val="22"/>
        </w:rPr>
      </w:pPr>
      <w:r w:rsidRPr="000C2ACE">
        <w:rPr>
          <w:rFonts w:ascii="Arial" w:eastAsia="Times New Roman" w:hAnsi="Arial" w:cs="Arial"/>
          <w:color w:val="2E2E2E"/>
          <w:szCs w:val="22"/>
        </w:rPr>
        <w:t xml:space="preserve">Soil microbial communities and related functions were studied under the constraints of agricultural land use in general and the specific aspects of Research Station </w:t>
      </w:r>
      <w:proofErr w:type="spellStart"/>
      <w:r w:rsidRPr="000C2ACE">
        <w:rPr>
          <w:rFonts w:ascii="Arial" w:eastAsia="Times New Roman" w:hAnsi="Arial" w:cs="Arial"/>
          <w:color w:val="2E2E2E"/>
          <w:szCs w:val="22"/>
        </w:rPr>
        <w:t>Scheyern</w:t>
      </w:r>
      <w:proofErr w:type="spellEnd"/>
      <w:r w:rsidRPr="000C2ACE">
        <w:rPr>
          <w:rFonts w:ascii="Arial" w:eastAsia="Times New Roman" w:hAnsi="Arial" w:cs="Arial"/>
          <w:color w:val="2E2E2E"/>
          <w:szCs w:val="22"/>
        </w:rPr>
        <w:t xml:space="preserve"> in particular. Hence, the impact of copper from previous hop cultivation in </w:t>
      </w:r>
      <w:proofErr w:type="spellStart"/>
      <w:r w:rsidRPr="000C2ACE">
        <w:rPr>
          <w:rFonts w:ascii="Arial" w:eastAsia="Times New Roman" w:hAnsi="Arial" w:cs="Arial"/>
          <w:color w:val="2E2E2E"/>
          <w:szCs w:val="22"/>
        </w:rPr>
        <w:t>Scheyern</w:t>
      </w:r>
      <w:proofErr w:type="spellEnd"/>
      <w:r w:rsidRPr="000C2ACE">
        <w:rPr>
          <w:rFonts w:ascii="Arial" w:eastAsia="Times New Roman" w:hAnsi="Arial" w:cs="Arial"/>
          <w:color w:val="2E2E2E"/>
          <w:szCs w:val="22"/>
        </w:rPr>
        <w:t xml:space="preserve"> was also investigated as well as the more general aspects of </w:t>
      </w:r>
      <w:hyperlink r:id="rId9" w:tooltip="Learn more about Pesticide Degradation from ScienceDirect's AI-generated Topic Pages" w:history="1">
        <w:r w:rsidRPr="000C2ACE">
          <w:rPr>
            <w:rFonts w:ascii="Arial" w:eastAsia="Times New Roman" w:hAnsi="Arial" w:cs="Arial"/>
            <w:color w:val="0C7DBB"/>
            <w:szCs w:val="22"/>
          </w:rPr>
          <w:t>herbicide degradation</w:t>
        </w:r>
      </w:hyperlink>
      <w:r w:rsidRPr="000C2ACE">
        <w:rPr>
          <w:rFonts w:ascii="Arial" w:eastAsia="Times New Roman" w:hAnsi="Arial" w:cs="Arial"/>
          <w:color w:val="2E2E2E"/>
          <w:szCs w:val="22"/>
        </w:rPr>
        <w:t> and soil </w:t>
      </w:r>
      <w:hyperlink r:id="rId10" w:tooltip="Learn more about Tillage from ScienceDirect's AI-generated Topic Pages" w:history="1">
        <w:r w:rsidRPr="000C2ACE">
          <w:rPr>
            <w:rFonts w:ascii="Arial" w:eastAsia="Times New Roman" w:hAnsi="Arial" w:cs="Arial"/>
            <w:color w:val="0C7DBB"/>
            <w:szCs w:val="22"/>
          </w:rPr>
          <w:t>tillage</w:t>
        </w:r>
      </w:hyperlink>
      <w:r w:rsidRPr="000C2ACE">
        <w:rPr>
          <w:rFonts w:ascii="Arial" w:eastAsia="Times New Roman" w:hAnsi="Arial" w:cs="Arial"/>
          <w:color w:val="2E2E2E"/>
          <w:szCs w:val="22"/>
        </w:rPr>
        <w:t> practices.</w:t>
      </w:r>
    </w:p>
    <w:p w:rsidR="000C2ACE" w:rsidRDefault="000C2ACE">
      <w:pPr>
        <w:rPr>
          <w:szCs w:val="22"/>
        </w:rPr>
      </w:pPr>
    </w:p>
    <w:p w:rsidR="00000E8B" w:rsidRDefault="00000E8B">
      <w:pPr>
        <w:rPr>
          <w:szCs w:val="22"/>
        </w:rPr>
      </w:pPr>
    </w:p>
    <w:p w:rsidR="00000E8B" w:rsidRDefault="00000E8B">
      <w:pPr>
        <w:rPr>
          <w:szCs w:val="22"/>
        </w:rPr>
      </w:pPr>
    </w:p>
    <w:p w:rsidR="00000E8B" w:rsidRDefault="00000E8B">
      <w:pPr>
        <w:rPr>
          <w:szCs w:val="22"/>
        </w:rPr>
      </w:pPr>
    </w:p>
    <w:p w:rsidR="00000E8B" w:rsidRDefault="00000E8B">
      <w:pPr>
        <w:rPr>
          <w:szCs w:val="22"/>
        </w:rPr>
      </w:pPr>
    </w:p>
    <w:p w:rsidR="00000E8B" w:rsidRDefault="00000E8B">
      <w:pPr>
        <w:rPr>
          <w:szCs w:val="22"/>
        </w:rPr>
      </w:pPr>
    </w:p>
    <w:p w:rsidR="00000E8B" w:rsidRDefault="00000E8B">
      <w:pPr>
        <w:rPr>
          <w:szCs w:val="22"/>
        </w:rPr>
      </w:pPr>
    </w:p>
    <w:p w:rsidR="00000E8B" w:rsidRPr="00000E8B" w:rsidRDefault="00000E8B" w:rsidP="00000E8B">
      <w:pPr>
        <w:pStyle w:val="Heading1"/>
        <w:shd w:val="clear" w:color="auto" w:fill="FCFCFC"/>
        <w:spacing w:before="0" w:after="109"/>
        <w:rPr>
          <w:rFonts w:ascii="Georgia" w:hAnsi="Georgia" w:cs="Helvetica"/>
          <w:b w:val="0"/>
          <w:bCs w:val="0"/>
          <w:color w:val="333333"/>
          <w:spacing w:val="2"/>
          <w:lang/>
        </w:rPr>
      </w:pPr>
      <w:r>
        <w:rPr>
          <w:rFonts w:ascii="Georgia" w:hAnsi="Georgia" w:cs="Helvetica"/>
          <w:b w:val="0"/>
          <w:bCs w:val="0"/>
          <w:color w:val="333333"/>
          <w:spacing w:val="2"/>
          <w:lang/>
        </w:rPr>
        <w:lastRenderedPageBreak/>
        <w:t>Effects of Agricultural Practices on the Physical, Chemical and Biological Properties of Soils</w:t>
      </w:r>
      <w:proofErr w:type="gramStart"/>
      <w:r>
        <w:rPr>
          <w:rFonts w:ascii="Georgia" w:hAnsi="Georgia" w:cs="Helvetica"/>
          <w:b w:val="0"/>
          <w:bCs w:val="0"/>
          <w:color w:val="333333"/>
          <w:spacing w:val="2"/>
          <w:lang/>
        </w:rPr>
        <w:t>:Effect</w:t>
      </w:r>
      <w:proofErr w:type="gramEnd"/>
      <w:r>
        <w:rPr>
          <w:rFonts w:ascii="Georgia" w:hAnsi="Georgia" w:cs="Helvetica"/>
          <w:b w:val="0"/>
          <w:bCs w:val="0"/>
          <w:color w:val="333333"/>
          <w:spacing w:val="2"/>
          <w:lang/>
        </w:rPr>
        <w:t xml:space="preserve"> of some Agricultural Practices on the Biological Soil Fertility</w:t>
      </w:r>
    </w:p>
    <w:p w:rsidR="00000E8B" w:rsidRPr="00000E8B" w:rsidRDefault="00000E8B" w:rsidP="00000E8B">
      <w:pPr>
        <w:pBdr>
          <w:right w:val="single" w:sz="6" w:space="16" w:color="CCCCCC"/>
        </w:pBdr>
        <w:shd w:val="clear" w:color="auto" w:fill="FCFCFC"/>
        <w:spacing w:after="0" w:line="240" w:lineRule="auto"/>
        <w:textAlignment w:val="top"/>
        <w:rPr>
          <w:rFonts w:ascii="Helvetica" w:hAnsi="Helvetica" w:cs="Helvetica"/>
          <w:color w:val="333333"/>
          <w:spacing w:val="-74"/>
        </w:rPr>
      </w:pPr>
    </w:p>
    <w:p w:rsidR="00000E8B" w:rsidRDefault="00000E8B" w:rsidP="00000E8B">
      <w:pPr>
        <w:pStyle w:val="para"/>
        <w:spacing w:before="240" w:beforeAutospacing="0" w:after="288" w:afterAutospacing="0"/>
      </w:pPr>
      <w:r>
        <w:t xml:space="preserve">The microbiological </w:t>
      </w:r>
      <w:proofErr w:type="gramStart"/>
      <w:r>
        <w:t>aspects of the positive effects of some agricultural practices on soil fertility and crop production has</w:t>
      </w:r>
      <w:proofErr w:type="gramEnd"/>
      <w:r>
        <w:t xml:space="preserve"> been recently revised.</w:t>
      </w:r>
    </w:p>
    <w:p w:rsidR="00000E8B" w:rsidRDefault="00000E8B" w:rsidP="00000E8B">
      <w:pPr>
        <w:pStyle w:val="para"/>
        <w:spacing w:before="240" w:beforeAutospacing="0" w:after="288" w:afterAutospacing="0"/>
      </w:pPr>
      <w:proofErr w:type="spellStart"/>
      <w:r>
        <w:t>Tillages</w:t>
      </w:r>
      <w:proofErr w:type="spellEnd"/>
      <w:r>
        <w:t xml:space="preserve">, crop rotation and fertilization improve the physical condition of soil; they provide a more </w:t>
      </w:r>
      <w:proofErr w:type="spellStart"/>
      <w:r>
        <w:t>favourable</w:t>
      </w:r>
      <w:proofErr w:type="spellEnd"/>
      <w:r>
        <w:t xml:space="preserve"> reaction for the activities of the numerous soil bacteria and admit large quantities of oxygen which are necessary for the growth of the aerobic organisms. These treatments are of great importance in soil fertility, not only because they produce in the soil </w:t>
      </w:r>
      <w:proofErr w:type="spellStart"/>
      <w:r>
        <w:t>favourable</w:t>
      </w:r>
      <w:proofErr w:type="spellEnd"/>
      <w:r>
        <w:t xml:space="preserve"> physical and chemical conditions for plant growth, but also create more </w:t>
      </w:r>
      <w:proofErr w:type="spellStart"/>
      <w:r>
        <w:t>favourable</w:t>
      </w:r>
      <w:proofErr w:type="spellEnd"/>
      <w:r>
        <w:t xml:space="preserve"> conditions for the activity of the microbes which effect more rapid liberation of the soil nutrients.</w:t>
      </w:r>
    </w:p>
    <w:p w:rsidR="00000E8B" w:rsidRDefault="00000E8B" w:rsidP="00000E8B">
      <w:pPr>
        <w:pStyle w:val="para"/>
        <w:spacing w:before="240" w:beforeAutospacing="0" w:after="288" w:afterAutospacing="0"/>
      </w:pPr>
      <w:r>
        <w:t xml:space="preserve">However, recent researches showed that soil </w:t>
      </w:r>
      <w:proofErr w:type="spellStart"/>
      <w:r>
        <w:t>tillages</w:t>
      </w:r>
      <w:proofErr w:type="spellEnd"/>
      <w:r>
        <w:t xml:space="preserve"> affect in a </w:t>
      </w:r>
      <w:proofErr w:type="spellStart"/>
      <w:r>
        <w:t>favourable</w:t>
      </w:r>
      <w:proofErr w:type="spellEnd"/>
      <w:r>
        <w:t xml:space="preserve"> way mainly the important groups of micro-organisms involved in the soil organic matter transformation, mineralization and nitrification; but affect </w:t>
      </w:r>
      <w:proofErr w:type="spellStart"/>
      <w:r>
        <w:t>unfavourably</w:t>
      </w:r>
      <w:proofErr w:type="spellEnd"/>
      <w:r>
        <w:t xml:space="preserve"> the most important process bound to the biological soil fertility as the nitrogen fixation by free micro-organisms.</w:t>
      </w:r>
    </w:p>
    <w:p w:rsidR="00000E8B" w:rsidRDefault="00000E8B" w:rsidP="00000E8B">
      <w:pPr>
        <w:pStyle w:val="para"/>
        <w:spacing w:before="240" w:beforeAutospacing="0" w:after="288" w:afterAutospacing="0"/>
      </w:pPr>
      <w:r>
        <w:t xml:space="preserve">The biological soil fertility is also more stimulated in soils submitted to crop rotation than in soils with monocultures, since the succession of different </w:t>
      </w:r>
      <w:proofErr w:type="spellStart"/>
      <w:r>
        <w:t>rhizospheric</w:t>
      </w:r>
      <w:proofErr w:type="spellEnd"/>
      <w:r>
        <w:t xml:space="preserve"> microbial populations exert a positive effect not only on the organic matter transformation and on biological nitrogen fixation but also against the pathogenic plant microbes.</w:t>
      </w:r>
    </w:p>
    <w:p w:rsidR="00000E8B" w:rsidRPr="000C2ACE" w:rsidRDefault="00000E8B">
      <w:pPr>
        <w:rPr>
          <w:szCs w:val="22"/>
        </w:rPr>
      </w:pPr>
    </w:p>
    <w:sectPr w:rsidR="00000E8B" w:rsidRPr="000C2ACE" w:rsidSect="007C4E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1F26"/>
    <w:multiLevelType w:val="multilevel"/>
    <w:tmpl w:val="3A94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FF3334"/>
    <w:multiLevelType w:val="multilevel"/>
    <w:tmpl w:val="1E2A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762A8D"/>
    <w:multiLevelType w:val="multilevel"/>
    <w:tmpl w:val="621A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3C2D9A"/>
    <w:multiLevelType w:val="multilevel"/>
    <w:tmpl w:val="2EA02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DA5C87"/>
    <w:multiLevelType w:val="multilevel"/>
    <w:tmpl w:val="C9B81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0C2ACE"/>
    <w:rsid w:val="00000E8B"/>
    <w:rsid w:val="000C2ACE"/>
    <w:rsid w:val="002E37F7"/>
    <w:rsid w:val="00395483"/>
    <w:rsid w:val="00454BE2"/>
    <w:rsid w:val="005E794E"/>
    <w:rsid w:val="007C4E78"/>
    <w:rsid w:val="00853286"/>
    <w:rsid w:val="00E15428"/>
    <w:rsid w:val="00F73E62"/>
    <w:rsid w:val="00FB3D4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83"/>
  </w:style>
  <w:style w:type="paragraph" w:styleId="Heading1">
    <w:name w:val="heading 1"/>
    <w:basedOn w:val="Normal"/>
    <w:next w:val="Normal"/>
    <w:link w:val="Heading1Char"/>
    <w:uiPriority w:val="9"/>
    <w:qFormat/>
    <w:rsid w:val="00000E8B"/>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000E8B"/>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link w:val="Heading3Char"/>
    <w:uiPriority w:val="9"/>
    <w:qFormat/>
    <w:rsid w:val="000C2A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2A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2A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2ACE"/>
    <w:rPr>
      <w:color w:val="0000FF"/>
      <w:u w:val="single"/>
    </w:rPr>
  </w:style>
  <w:style w:type="character" w:styleId="Emphasis">
    <w:name w:val="Emphasis"/>
    <w:basedOn w:val="DefaultParagraphFont"/>
    <w:uiPriority w:val="20"/>
    <w:qFormat/>
    <w:rsid w:val="000C2ACE"/>
    <w:rPr>
      <w:i/>
      <w:iCs/>
    </w:rPr>
  </w:style>
  <w:style w:type="character" w:customStyle="1" w:styleId="Heading1Char">
    <w:name w:val="Heading 1 Char"/>
    <w:basedOn w:val="DefaultParagraphFont"/>
    <w:link w:val="Heading1"/>
    <w:uiPriority w:val="9"/>
    <w:rsid w:val="00000E8B"/>
    <w:rPr>
      <w:rFonts w:asciiTheme="majorHAnsi" w:eastAsiaTheme="majorEastAsia" w:hAnsiTheme="majorHAnsi" w:cstheme="majorBidi"/>
      <w:b/>
      <w:bCs/>
      <w:color w:val="365F91" w:themeColor="accent1" w:themeShade="BF"/>
      <w:sz w:val="28"/>
      <w:szCs w:val="25"/>
    </w:rPr>
  </w:style>
  <w:style w:type="character" w:customStyle="1" w:styleId="Heading2Char">
    <w:name w:val="Heading 2 Char"/>
    <w:basedOn w:val="DefaultParagraphFont"/>
    <w:link w:val="Heading2"/>
    <w:uiPriority w:val="9"/>
    <w:semiHidden/>
    <w:rsid w:val="00000E8B"/>
    <w:rPr>
      <w:rFonts w:asciiTheme="majorHAnsi" w:eastAsiaTheme="majorEastAsia" w:hAnsiTheme="majorHAnsi" w:cstheme="majorBidi"/>
      <w:b/>
      <w:bCs/>
      <w:color w:val="4F81BD" w:themeColor="accent1"/>
      <w:sz w:val="26"/>
      <w:szCs w:val="23"/>
    </w:rPr>
  </w:style>
  <w:style w:type="character" w:customStyle="1" w:styleId="authorsname">
    <w:name w:val="authors__name"/>
    <w:basedOn w:val="DefaultParagraphFont"/>
    <w:rsid w:val="00000E8B"/>
  </w:style>
  <w:style w:type="character" w:customStyle="1" w:styleId="affiliationcount">
    <w:name w:val="affiliation__count"/>
    <w:basedOn w:val="DefaultParagraphFont"/>
    <w:rsid w:val="00000E8B"/>
  </w:style>
  <w:style w:type="character" w:customStyle="1" w:styleId="test-render-category">
    <w:name w:val="test-render-category"/>
    <w:basedOn w:val="DefaultParagraphFont"/>
    <w:rsid w:val="00000E8B"/>
  </w:style>
  <w:style w:type="character" w:customStyle="1" w:styleId="test-metric-count">
    <w:name w:val="test-metric-count"/>
    <w:basedOn w:val="DefaultParagraphFont"/>
    <w:rsid w:val="00000E8B"/>
  </w:style>
  <w:style w:type="character" w:customStyle="1" w:styleId="test-metric-name">
    <w:name w:val="test-metric-name"/>
    <w:basedOn w:val="DefaultParagraphFont"/>
    <w:rsid w:val="00000E8B"/>
  </w:style>
  <w:style w:type="paragraph" w:customStyle="1" w:styleId="para">
    <w:name w:val="para"/>
    <w:basedOn w:val="Normal"/>
    <w:rsid w:val="00000E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4193489">
      <w:bodyDiv w:val="1"/>
      <w:marLeft w:val="0"/>
      <w:marRight w:val="0"/>
      <w:marTop w:val="0"/>
      <w:marBottom w:val="0"/>
      <w:divBdr>
        <w:top w:val="none" w:sz="0" w:space="0" w:color="auto"/>
        <w:left w:val="none" w:sz="0" w:space="0" w:color="auto"/>
        <w:bottom w:val="none" w:sz="0" w:space="0" w:color="auto"/>
        <w:right w:val="none" w:sz="0" w:space="0" w:color="auto"/>
      </w:divBdr>
      <w:divsChild>
        <w:div w:id="897786733">
          <w:marLeft w:val="0"/>
          <w:marRight w:val="0"/>
          <w:marTop w:val="0"/>
          <w:marBottom w:val="489"/>
          <w:divBdr>
            <w:top w:val="none" w:sz="0" w:space="0" w:color="auto"/>
            <w:left w:val="none" w:sz="0" w:space="0" w:color="auto"/>
            <w:bottom w:val="none" w:sz="0" w:space="0" w:color="auto"/>
            <w:right w:val="none" w:sz="0" w:space="0" w:color="auto"/>
          </w:divBdr>
          <w:divsChild>
            <w:div w:id="1389232833">
              <w:marLeft w:val="0"/>
              <w:marRight w:val="0"/>
              <w:marTop w:val="0"/>
              <w:marBottom w:val="326"/>
              <w:divBdr>
                <w:top w:val="none" w:sz="0" w:space="0" w:color="auto"/>
                <w:left w:val="none" w:sz="0" w:space="0" w:color="auto"/>
                <w:bottom w:val="none" w:sz="0" w:space="0" w:color="auto"/>
                <w:right w:val="none" w:sz="0" w:space="0" w:color="auto"/>
              </w:divBdr>
            </w:div>
            <w:div w:id="1937667903">
              <w:marLeft w:val="0"/>
              <w:marRight w:val="0"/>
              <w:marTop w:val="0"/>
              <w:marBottom w:val="0"/>
              <w:divBdr>
                <w:top w:val="none" w:sz="0" w:space="0" w:color="auto"/>
                <w:left w:val="none" w:sz="0" w:space="0" w:color="auto"/>
                <w:bottom w:val="none" w:sz="0" w:space="0" w:color="auto"/>
                <w:right w:val="none" w:sz="0" w:space="0" w:color="auto"/>
              </w:divBdr>
              <w:divsChild>
                <w:div w:id="1447233939">
                  <w:marLeft w:val="0"/>
                  <w:marRight w:val="0"/>
                  <w:marTop w:val="0"/>
                  <w:marBottom w:val="0"/>
                  <w:divBdr>
                    <w:top w:val="none" w:sz="0" w:space="0" w:color="auto"/>
                    <w:left w:val="none" w:sz="0" w:space="0" w:color="auto"/>
                    <w:bottom w:val="none" w:sz="0" w:space="0" w:color="auto"/>
                    <w:right w:val="none" w:sz="0" w:space="0" w:color="auto"/>
                  </w:divBdr>
                </w:div>
                <w:div w:id="1194147714">
                  <w:marLeft w:val="0"/>
                  <w:marRight w:val="0"/>
                  <w:marTop w:val="0"/>
                  <w:marBottom w:val="0"/>
                  <w:divBdr>
                    <w:top w:val="none" w:sz="0" w:space="0" w:color="auto"/>
                    <w:left w:val="none" w:sz="0" w:space="0" w:color="auto"/>
                    <w:bottom w:val="none" w:sz="0" w:space="0" w:color="auto"/>
                    <w:right w:val="none" w:sz="0" w:space="0" w:color="auto"/>
                  </w:divBdr>
                  <w:divsChild>
                    <w:div w:id="368576614">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 w:id="427308421">
              <w:marLeft w:val="0"/>
              <w:marRight w:val="0"/>
              <w:marTop w:val="0"/>
              <w:marBottom w:val="0"/>
              <w:divBdr>
                <w:top w:val="none" w:sz="0" w:space="0" w:color="auto"/>
                <w:left w:val="none" w:sz="0" w:space="0" w:color="auto"/>
                <w:bottom w:val="none" w:sz="0" w:space="0" w:color="auto"/>
                <w:right w:val="none" w:sz="0" w:space="0" w:color="auto"/>
              </w:divBdr>
              <w:divsChild>
                <w:div w:id="1510831247">
                  <w:marLeft w:val="0"/>
                  <w:marRight w:val="217"/>
                  <w:marTop w:val="0"/>
                  <w:marBottom w:val="0"/>
                  <w:divBdr>
                    <w:top w:val="none" w:sz="0" w:space="0" w:color="auto"/>
                    <w:left w:val="none" w:sz="0" w:space="0" w:color="auto"/>
                    <w:bottom w:val="none" w:sz="0" w:space="0" w:color="auto"/>
                    <w:right w:val="single" w:sz="6" w:space="11" w:color="CCCCCC"/>
                  </w:divBdr>
                </w:div>
                <w:div w:id="7614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agricultural-and-biological-sciences/soil-ecology" TargetMode="External"/><Relationship Id="rId3" Type="http://schemas.openxmlformats.org/officeDocument/2006/relationships/settings" Target="settings.xml"/><Relationship Id="rId7" Type="http://schemas.openxmlformats.org/officeDocument/2006/relationships/hyperlink" Target="https://www.sciencedirect.com/topics/agricultural-and-biological-sciences/biosphe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topics/agricultural-and-biological-sciences/plant-nutrition" TargetMode="External"/><Relationship Id="rId11" Type="http://schemas.openxmlformats.org/officeDocument/2006/relationships/fontTable" Target="fontTable.xml"/><Relationship Id="rId5" Type="http://schemas.openxmlformats.org/officeDocument/2006/relationships/hyperlink" Target="https://www.sciencedirect.com/topics/agricultural-and-biological-sciences/microbial-communities" TargetMode="External"/><Relationship Id="rId10" Type="http://schemas.openxmlformats.org/officeDocument/2006/relationships/hyperlink" Target="https://www.sciencedirect.com/topics/agricultural-and-biological-sciences/tillage" TargetMode="External"/><Relationship Id="rId4" Type="http://schemas.openxmlformats.org/officeDocument/2006/relationships/webSettings" Target="webSettings.xml"/><Relationship Id="rId9" Type="http://schemas.openxmlformats.org/officeDocument/2006/relationships/hyperlink" Target="https://www.sciencedirect.com/topics/agricultural-and-biological-sciences/pesticide-degra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904</Words>
  <Characters>5159</Characters>
  <Application>Microsoft Office Word</Application>
  <DocSecurity>0</DocSecurity>
  <Lines>42</Lines>
  <Paragraphs>12</Paragraphs>
  <ScaleCrop>false</ScaleCrop>
  <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2020-09-19T19:13:00Z</dcterms:created>
  <dcterms:modified xsi:type="dcterms:W3CDTF">2020-09-19T19:37:00Z</dcterms:modified>
</cp:coreProperties>
</file>